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  <w:r>
        <w:rPr>
          <w:rFonts w:cstheme="minorHAnsi"/>
          <w:caps/>
          <w:sz w:val="24"/>
          <w:szCs w:val="24"/>
          <w:lang w:eastAsia="cs-CZ"/>
        </w:rPr>
        <w:t>univerzita karlova v praze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  <w:r>
        <w:rPr>
          <w:rFonts w:cstheme="minorHAnsi"/>
          <w:caps/>
          <w:sz w:val="24"/>
          <w:szCs w:val="24"/>
          <w:lang w:eastAsia="cs-CZ"/>
        </w:rPr>
        <w:t>pedagogická fakulta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tabs>
          <w:tab w:val="left" w:pos="495"/>
          <w:tab w:val="center" w:pos="4251"/>
        </w:tabs>
        <w:spacing w:after="0" w:line="240" w:lineRule="auto"/>
        <w:contextualSpacing/>
        <w:jc w:val="center"/>
        <w:rPr>
          <w:rFonts w:cstheme="minorHAnsi"/>
          <w:b/>
          <w:caps/>
          <w:sz w:val="20"/>
          <w:szCs w:val="20"/>
          <w:lang w:eastAsia="cs-CZ"/>
        </w:rPr>
      </w:pPr>
      <w:r>
        <w:rPr>
          <w:rFonts w:cstheme="minorHAnsi"/>
          <w:b/>
          <w:caps/>
          <w:sz w:val="20"/>
          <w:szCs w:val="20"/>
          <w:lang w:eastAsia="cs-CZ"/>
        </w:rPr>
        <w:t>katedra informačních technologií a technické výchovy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  <w:r>
        <w:rPr>
          <w:rFonts w:cstheme="minorHAnsi"/>
          <w:caps/>
          <w:sz w:val="24"/>
          <w:szCs w:val="24"/>
          <w:lang w:eastAsia="cs-CZ"/>
        </w:rPr>
        <w:t xml:space="preserve">vytvoření textového </w:t>
      </w:r>
      <w:bookmarkStart w:id="0" w:name="_GoBack"/>
      <w:bookmarkEnd w:id="0"/>
      <w:r>
        <w:rPr>
          <w:rFonts w:cstheme="minorHAnsi"/>
          <w:caps/>
          <w:sz w:val="24"/>
          <w:szCs w:val="24"/>
          <w:lang w:eastAsia="cs-CZ"/>
        </w:rPr>
        <w:t xml:space="preserve">dokumeNtu </w:t>
      </w:r>
      <w:r>
        <w:rPr>
          <w:rFonts w:cstheme="minorHAnsi"/>
          <w:caps/>
          <w:sz w:val="24"/>
          <w:szCs w:val="24"/>
          <w:lang w:eastAsia="cs-CZ"/>
        </w:rPr>
        <w:br/>
        <w:t>z vybrané kvalifikační práce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  <w:r>
        <w:rPr>
          <w:rFonts w:cstheme="minorHAnsi"/>
          <w:caps/>
          <w:sz w:val="24"/>
          <w:szCs w:val="24"/>
          <w:lang w:eastAsia="cs-CZ"/>
        </w:rPr>
        <w:t>L</w:t>
      </w:r>
      <w:r>
        <w:rPr>
          <w:rFonts w:cstheme="minorHAnsi"/>
          <w:caps/>
          <w:sz w:val="24"/>
          <w:szCs w:val="24"/>
          <w:lang w:eastAsia="cs-CZ"/>
        </w:rPr>
        <w:t>ukáš zemanec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caps/>
          <w:sz w:val="24"/>
          <w:szCs w:val="24"/>
          <w:lang w:eastAsia="cs-CZ"/>
        </w:rPr>
      </w:pP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b/>
          <w:caps/>
          <w:sz w:val="20"/>
          <w:szCs w:val="20"/>
          <w:lang w:eastAsia="cs-CZ"/>
        </w:rPr>
      </w:pPr>
      <w:r>
        <w:rPr>
          <w:rFonts w:cstheme="minorHAnsi"/>
          <w:b/>
          <w:caps/>
          <w:sz w:val="20"/>
          <w:szCs w:val="20"/>
          <w:lang w:eastAsia="cs-CZ"/>
        </w:rPr>
        <w:t>učitelství odborného výcviku</w:t>
      </w:r>
    </w:p>
    <w:p w:rsidR="008E5033" w:rsidRDefault="008E5033" w:rsidP="008E5033">
      <w:pPr>
        <w:spacing w:after="0" w:line="240" w:lineRule="auto"/>
        <w:contextualSpacing/>
        <w:jc w:val="center"/>
        <w:rPr>
          <w:rFonts w:cstheme="minorHAnsi"/>
          <w:b/>
          <w:caps/>
          <w:sz w:val="20"/>
          <w:szCs w:val="20"/>
          <w:lang w:eastAsia="cs-CZ"/>
        </w:rPr>
      </w:pPr>
      <w:r>
        <w:rPr>
          <w:rFonts w:cstheme="minorHAnsi"/>
          <w:b/>
          <w:caps/>
          <w:sz w:val="20"/>
          <w:szCs w:val="20"/>
          <w:lang w:eastAsia="cs-CZ"/>
        </w:rPr>
        <w:br w:type="page"/>
      </w:r>
    </w:p>
    <w:p w:rsidR="00B97473" w:rsidRDefault="00B9747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B97473" w:rsidRDefault="00B9747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Masarykova Univerzita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Pedagogická fakulta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Katedra sociální pedagogiky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Diplomová práce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Kyberšikana z pohledu pedagoga na střední škole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Vedoucí práce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Autor práce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Mgr. Jan Buchta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Bc. Jiří Čech</w:t>
      </w:r>
    </w:p>
    <w:p w:rsidR="008E5033" w:rsidRDefault="008E5033" w:rsidP="008E503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Anotace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 w:rsidRPr="00E20341">
        <w:rPr>
          <w:sz w:val="24"/>
          <w:szCs w:val="24"/>
        </w:rPr>
        <w:t>Diplomová práce Kyberšikana z pohledu pedagoga na střední škole pojednává o postojích pedagogů na středních školách směrem k rozvíjejícímu se fenoménu kyberšikany, dále se zabývá jejich kvalifikovaností pro řešení problémů spojených s kyberšikanou. Teoretická část si klade za cíl připravit půdu a pojmovou základnu pro empirický výzkum. Rozpracovaná témata jsou účastníci kyberšikany, prostředky a projevy kyberšikany. Empirická část se zaměřuje na analýzu výpovědí středoškolských pedagogů o postojích vůči kyberšikaně a zkušenostech s ní. V neposlední řadě o možnostech jejího řešení.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033" w:rsidRPr="003A55D5" w:rsidRDefault="008E5033" w:rsidP="008E5033">
      <w:pPr>
        <w:tabs>
          <w:tab w:val="left" w:pos="80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3A55D5">
        <w:rPr>
          <w:rFonts w:eastAsia="Times New Roman"/>
          <w:b/>
          <w:bCs/>
          <w:sz w:val="28"/>
          <w:szCs w:val="28"/>
        </w:rPr>
        <w:lastRenderedPageBreak/>
        <w:t>Úryvek z dané práce:</w:t>
      </w:r>
    </w:p>
    <w:p w:rsidR="008E5033" w:rsidRDefault="008E5033" w:rsidP="008E5033">
      <w:pPr>
        <w:tabs>
          <w:tab w:val="left" w:pos="800"/>
        </w:tabs>
        <w:spacing w:after="0" w:line="240" w:lineRule="auto"/>
        <w:ind w:left="800"/>
        <w:rPr>
          <w:rFonts w:eastAsia="Times New Roman"/>
          <w:b/>
          <w:bCs/>
          <w:sz w:val="32"/>
          <w:szCs w:val="32"/>
        </w:rPr>
      </w:pPr>
    </w:p>
    <w:p w:rsidR="008E5033" w:rsidRDefault="008E5033" w:rsidP="008E5033">
      <w:pPr>
        <w:numPr>
          <w:ilvl w:val="0"/>
          <w:numId w:val="1"/>
        </w:numPr>
        <w:tabs>
          <w:tab w:val="left" w:pos="800"/>
        </w:tabs>
        <w:spacing w:after="0" w:line="240" w:lineRule="auto"/>
        <w:ind w:left="800" w:hanging="35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Vztah pedagogických pracovníků ke kyberšikaně</w:t>
      </w:r>
    </w:p>
    <w:p w:rsidR="008E5033" w:rsidRDefault="008E5033" w:rsidP="008E5033">
      <w:pPr>
        <w:spacing w:after="0" w:line="240" w:lineRule="auto"/>
        <w:rPr>
          <w:rFonts w:eastAsiaTheme="minorEastAsia"/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střední škole bývá zvykem, že pedagog může mít více rolí ve školní hierarchii, v následujícím textu si je všechny představíme. Tyto role mají vždy určitou funkci v prevenci a řešení šikanování, a tudíž i kyberšikanování. Jedná se o ředitele školy, školního metodika prevence, školního výchovného poradce, speciálního pedagoga, školního psychologa, třídního učitele a v neposlední řadě i samotného učitele.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Ředitel školy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4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Ředitel školy je zodpovědný za vše, co se ve škole odehrává, od jmenování pedagogů do jednotlivých funkcí až po řešení kyberšikany a jiné šikany. Jeho úkolem je mimo jiné také zabezpečení poskytování poradenských služeb v jeho škole. K tomuto úkolu je mu k dispozici řada pedagogů, kteří mají jednotlivé funkce, podle vyhlášky 116/2011 je to: školní metodik prevence, výchovný poradce, speciální pedagog a školní psycholog (vyhláška 166/2011).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Školní metodik prevence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Pracovník školy známý jako školní metodik prevence působí na škole jako poskytovatel poradenských služeb spolu s výchovným poradcem. Zajišťuje především oblast sociálně patologických jevů, kde se věnuje třem hlavním činnostem (vyhláška 166/2011):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numPr>
          <w:ilvl w:val="0"/>
          <w:numId w:val="2"/>
        </w:numPr>
        <w:tabs>
          <w:tab w:val="left" w:pos="1100"/>
        </w:tabs>
        <w:spacing w:after="0" w:line="240" w:lineRule="auto"/>
        <w:ind w:left="1100" w:hanging="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Metodické a koordinační</w:t>
      </w:r>
    </w:p>
    <w:p w:rsidR="008E5033" w:rsidRDefault="008E5033" w:rsidP="008E5033">
      <w:pPr>
        <w:spacing w:after="0" w:line="240" w:lineRule="auto"/>
        <w:rPr>
          <w:rFonts w:eastAsiaTheme="minorEastAsia"/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820" w:right="264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 těmito si můžeme představit tvorbu a kontrolu realizace školního preventivního programu, metodické vedení činnosti pedagogických pracovníků školy v oblasti prevence sociálně patologických jevů. Koordinace jednotlivých pracovníků školy na prevenci sociálně patologických jevů. Koordinace školení jednotlivých členů pedagogického sboru a kooperace s vnějšími složkami (orgány státní správy a samosprávy, odborná pracoviště). Shromažďování odborných zpráv o žácích v poradenské péči a vedení písemných záznamů umožňujících doložit rozsah a obsah činnosti školního metodika prevence, navržená a realizovaná opatření.</w:t>
      </w:r>
    </w:p>
    <w:p w:rsidR="008E5033" w:rsidRDefault="008E5033" w:rsidP="008E5033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Informační</w:t>
      </w:r>
    </w:p>
    <w:p w:rsidR="008E5033" w:rsidRDefault="008E5033" w:rsidP="008E5033">
      <w:pPr>
        <w:spacing w:after="0" w:line="240" w:lineRule="auto"/>
        <w:rPr>
          <w:rFonts w:eastAsiaTheme="minorEastAsia"/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820" w:right="264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Zajišťování a předávání odborných informací o problematice sociálně patologických jevů a o možnostech programů a projektů zajišťující specifickou primární prevenci pedagogickým pracovníkům školy. Prezentace výsledků preventivní práce školy a získávání nových informací a zkušeností. Vedení a průběžné aktualizování databáze spolupracovníků školy pro oblast prevence sociálně patologických jevů</w:t>
      </w:r>
      <w:r>
        <w:rPr>
          <w:rFonts w:eastAsia="Times New Roman"/>
          <w:color w:val="323D4F"/>
          <w:sz w:val="19"/>
          <w:szCs w:val="19"/>
        </w:rPr>
        <w:t>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Poradenské</w:t>
      </w:r>
    </w:p>
    <w:p w:rsidR="008E5033" w:rsidRDefault="008E5033" w:rsidP="008E5033">
      <w:pPr>
        <w:spacing w:after="0" w:line="240" w:lineRule="auto"/>
        <w:rPr>
          <w:rFonts w:eastAsiaTheme="minorEastAsia"/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820" w:right="244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poradenské činnosti metodika školní prevence nalezneme například vyhledávání žáků s projevem sociálně patologických jevů, spolupráce s třídními učiteli, či příprava podmínek pro integraci žáků se specifickými poruchami chování.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Výchovný poradce školy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Hlavní náplní činnosti výchovného poradce ve škole je kariérní poradenství a poté proces integrace žáků se speciálními vzdělávacími potřebami. Jeho působení se dělí na dvě hlavní náplně (vyhláška 166/2011):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numPr>
          <w:ilvl w:val="1"/>
          <w:numId w:val="5"/>
        </w:numPr>
        <w:tabs>
          <w:tab w:val="left" w:pos="1677"/>
        </w:tabs>
        <w:spacing w:after="0" w:line="240" w:lineRule="auto"/>
        <w:ind w:left="260" w:right="264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Kariérové poradenství a poradenská pomoc při rozhodování o další vzdělávací a profesní cestě žáků, tj. zejména:</w:t>
      </w:r>
    </w:p>
    <w:p w:rsidR="008E5033" w:rsidRDefault="008E5033" w:rsidP="008E503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8E5033" w:rsidRDefault="008E5033" w:rsidP="008E5033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right="2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Základní skupinová šetření k volbě povolání, spolu s tím spojená administrace. Individuální šetření a individuální poradenství v této oblasti. Spolupráce se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spacing w:after="0" w:line="240" w:lineRule="auto"/>
        <w:ind w:left="6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školskými  poradenskými  zařízeními  (Pedagogicko  –  psychologická  poradna,</w:t>
      </w:r>
    </w:p>
    <w:p w:rsidR="008E5033" w:rsidRDefault="008E5033" w:rsidP="008E503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620" w:right="2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Speciálně pedagogické centrum), spolupráce se zákonnými zástupci s ohledem na očekávání a předpoklady žáků. Zajišťování skupinových návštěv žáků školy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620" w:right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informačních poradenských střediscích, úřadech práce a poskytování informací žákům a zákonným zástupcům o možnosti individuálního využití informačních služeb těchto středisek.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right="264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Vyhledávání žáků, jejichž vývoj a vzdělávání vyžadují zvláštní pozornost. Návrhy na další vzdělávání těchto žáků.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Zajištění či přímé zprostředkování diagnostiky speciálních vzdělávacích potřeb.</w:t>
      </w: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right="2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Příprava na integraci žáků se zdravotním postižením do školy, koordinace poskytování poradenských služeb těmto žákům se školními poradenskými pracovišti.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right="264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Poskytování služeb kariérového poradenství žákům/cizincům se zřetelem k jejich speciálním vzdělávacím potřebám.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numPr>
          <w:ilvl w:val="2"/>
          <w:numId w:val="7"/>
        </w:numPr>
        <w:tabs>
          <w:tab w:val="left" w:pos="1680"/>
        </w:tabs>
        <w:spacing w:after="0" w:line="240" w:lineRule="auto"/>
        <w:ind w:left="1680" w:hanging="8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Metodické a informační činnosti:</w:t>
      </w:r>
    </w:p>
    <w:p w:rsidR="008E5033" w:rsidRDefault="008E5033" w:rsidP="008E503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Zprostředkování informací o nových možnostech pedagogické diagnostiky a intervence.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Metodická pomoc pedagogům v otázkách karierního rozhodování jednotlivých žáků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right="264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Předávání odborných informací z oblasti kariérového poradenství. Péče žáky se speciálními vzdělávacími potřebami pedagogickým pracovníkům školy.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5033" w:rsidRDefault="008E5033" w:rsidP="008E5033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Poskytování informací o činnosti školy, školských a dalších poradenských zařízeních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8E5033" w:rsidRDefault="008E5033" w:rsidP="008E5033">
      <w:pPr>
        <w:numPr>
          <w:ilvl w:val="1"/>
          <w:numId w:val="8"/>
        </w:numPr>
        <w:tabs>
          <w:tab w:val="left" w:pos="788"/>
        </w:tabs>
        <w:spacing w:after="0" w:line="240" w:lineRule="auto"/>
        <w:ind w:left="6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regionu, o jejich zaměření, kompetencích a o možnostech využívání jejich služeb žákům a jejich zákonným zástupcům.</w:t>
      </w:r>
    </w:p>
    <w:p w:rsidR="008E5033" w:rsidRDefault="008E5033" w:rsidP="008E5033">
      <w:pPr>
        <w:spacing w:after="0" w:line="240" w:lineRule="auto"/>
        <w:rPr>
          <w:rFonts w:eastAsia="Times New Roman"/>
          <w:sz w:val="24"/>
          <w:szCs w:val="24"/>
        </w:rPr>
      </w:pPr>
    </w:p>
    <w:p w:rsidR="008E5033" w:rsidRDefault="008E5033" w:rsidP="008E503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</w:rPr>
      </w:pPr>
      <w:r>
        <w:rPr>
          <w:rFonts w:eastAsia="Times New Roman"/>
        </w:rPr>
        <w:t>Shromažďování odborných zpráv a informací o žácích v poradenské péči a jejich zajištění</w:t>
      </w:r>
    </w:p>
    <w:p w:rsidR="008E5033" w:rsidRDefault="008E5033" w:rsidP="008E5033">
      <w:pPr>
        <w:spacing w:after="0" w:line="240" w:lineRule="auto"/>
        <w:rPr>
          <w:rFonts w:ascii="Arial" w:eastAsia="Arial" w:hAnsi="Arial" w:cs="Arial"/>
        </w:rPr>
      </w:pPr>
    </w:p>
    <w:p w:rsidR="008E5033" w:rsidRDefault="008E5033" w:rsidP="008E5033">
      <w:pPr>
        <w:numPr>
          <w:ilvl w:val="1"/>
          <w:numId w:val="8"/>
        </w:numPr>
        <w:tabs>
          <w:tab w:val="left" w:pos="780"/>
        </w:tabs>
        <w:spacing w:after="0" w:line="240" w:lineRule="auto"/>
        <w:ind w:left="780" w:hanging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souladu s předpisy o ochranně osobních údajů.</w:t>
      </w:r>
    </w:p>
    <w:p w:rsidR="008E5033" w:rsidRDefault="008E5033" w:rsidP="008E5033">
      <w:pPr>
        <w:spacing w:after="0" w:line="240" w:lineRule="auto"/>
        <w:rPr>
          <w:rFonts w:eastAsia="Times New Roman"/>
          <w:sz w:val="24"/>
          <w:szCs w:val="24"/>
        </w:rPr>
      </w:pPr>
    </w:p>
    <w:p w:rsidR="008E5033" w:rsidRDefault="008E5033" w:rsidP="008E503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60"/>
        <w:rPr>
          <w:rFonts w:ascii="Arial" w:eastAsia="Arial" w:hAnsi="Arial" w:cs="Arial"/>
        </w:rPr>
      </w:pPr>
      <w:r>
        <w:rPr>
          <w:rFonts w:eastAsia="Times New Roman"/>
        </w:rPr>
        <w:t>Vedení písemných záznamů dokládajících rozsah o vlastní činnosti výchovného poradce.</w:t>
      </w:r>
    </w:p>
    <w:p w:rsidR="008E5033" w:rsidRDefault="008E5033" w:rsidP="008E503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Speciální pedagog a školní psycholog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Střední školy nejsou povinny zaměstnávat školního psychologa nebo speciálního pedagoga, mnoho škol však jimi dnes disponuje. Pro tyto pedagogické pracovníky platí, že vytvářejí například systém včasné identifikace žáků s výukovými obtížemi a metodickou podporu učitelům.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4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Školní psycholog se věnuje specifickým poruchám učení u žáků, výukovým a výchovným problémům, diagnostice nadaných dětí, či sociálnímu klimatu ve třídě. Dále se věnuje také konzultačním, metodickým či poradenským činnostem.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4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Speciální pedagog vyhledává například žáky se speciálními vzdělávacími potřebami a diagnostikuje jejich potřeby, kooperuje se školskými poradenskými zařízeními a jinými odbornými pracovníky nebo vede asistenty pedagoga ve škole (vyhláška 166/2011).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Třídní učitel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Mimo své základní funkce řízení a výchovného vedení třídního kolektivu třídní učitel zastává funkci prvního diagnostika ve třídě. Koordinuje působení žáků ve škole a také práci pedagogických pracovníků působících na jeho třídu. Spolupracuje se zákonnými zástupci jednotlivých žáků a vede pedagogickou dokumentaci třídy.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tabs>
          <w:tab w:val="left" w:pos="820"/>
        </w:tabs>
        <w:spacing w:after="0" w:line="24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Učitel</w:t>
      </w:r>
    </w:p>
    <w:p w:rsidR="008E5033" w:rsidRDefault="008E5033" w:rsidP="008E5033">
      <w:pPr>
        <w:spacing w:after="0" w:line="240" w:lineRule="auto"/>
        <w:rPr>
          <w:sz w:val="20"/>
          <w:szCs w:val="20"/>
        </w:rPr>
      </w:pPr>
    </w:p>
    <w:p w:rsidR="008E5033" w:rsidRDefault="008E5033" w:rsidP="008E5033">
      <w:pPr>
        <w:spacing w:after="0" w:line="240" w:lineRule="auto"/>
        <w:ind w:left="260" w:right="26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Učitel by ze svého vzdělání měl být schopen prvotní diagnostiky dítěte a rozpoznání, že s ním není něco v pořádku, tuto informaci by však měl dále postoupit kompetentnější osobě. S problémem kyberšikany se setká na vysoké škole v psychologickém bloku. Avšak seznámení se šikanou a s ní související kyberšikanou je jen okrajové.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033" w:rsidRPr="00AA45A1" w:rsidRDefault="008E5033" w:rsidP="008E5033">
      <w:pPr>
        <w:spacing w:after="0" w:line="240" w:lineRule="auto"/>
        <w:rPr>
          <w:b/>
          <w:sz w:val="28"/>
          <w:szCs w:val="28"/>
        </w:rPr>
      </w:pPr>
      <w:r w:rsidRPr="00AA45A1">
        <w:rPr>
          <w:b/>
          <w:sz w:val="28"/>
          <w:szCs w:val="28"/>
        </w:rPr>
        <w:lastRenderedPageBreak/>
        <w:t>Vlastní vyjádření k danému tématu: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 mnohé se to může zdát jen jako nevinná legrace ale kyberšikana je dle mého názoru stejně závažná jako šikana fyzická. Je to</w:t>
      </w:r>
      <w:r w:rsidRPr="004B3DB1">
        <w:rPr>
          <w:sz w:val="24"/>
          <w:szCs w:val="24"/>
        </w:rPr>
        <w:t xml:space="preserve"> velmi problematické téma</w:t>
      </w:r>
      <w:r>
        <w:rPr>
          <w:sz w:val="24"/>
          <w:szCs w:val="24"/>
        </w:rPr>
        <w:t>. Ši</w:t>
      </w:r>
      <w:r w:rsidRPr="004B3DB1">
        <w:rPr>
          <w:sz w:val="24"/>
          <w:szCs w:val="24"/>
        </w:rPr>
        <w:t>kanovat někoho pom</w:t>
      </w:r>
      <w:r>
        <w:rPr>
          <w:sz w:val="24"/>
          <w:szCs w:val="24"/>
        </w:rPr>
        <w:t>ocí internetu je poměrně snadné</w:t>
      </w:r>
      <w:r w:rsidRPr="004B3DB1">
        <w:rPr>
          <w:sz w:val="24"/>
          <w:szCs w:val="24"/>
        </w:rPr>
        <w:t xml:space="preserve"> a agresory za jejich přezdívkami bývá mnohdy složité i vůbec určit. Asi všichni se shodnem</w:t>
      </w:r>
      <w:r>
        <w:rPr>
          <w:sz w:val="24"/>
          <w:szCs w:val="24"/>
        </w:rPr>
        <w:t>e</w:t>
      </w:r>
      <w:r w:rsidRPr="004B3DB1">
        <w:rPr>
          <w:sz w:val="24"/>
          <w:szCs w:val="24"/>
        </w:rPr>
        <w:t xml:space="preserve"> na tom, že je to akt čiré podlosti, zbabělosti a zákeřnosti (což je šikana, </w:t>
      </w:r>
      <w:r>
        <w:rPr>
          <w:sz w:val="24"/>
          <w:szCs w:val="24"/>
        </w:rPr>
        <w:t>jako taková vůbec)</w:t>
      </w:r>
      <w:r w:rsidRPr="004B3DB1">
        <w:rPr>
          <w:sz w:val="24"/>
          <w:szCs w:val="24"/>
        </w:rPr>
        <w:t xml:space="preserve"> a že za ní stojí jedinci, kteří jsou sami o sobě psychicky nestabilní (nikdo </w:t>
      </w:r>
      <w:r>
        <w:rPr>
          <w:sz w:val="24"/>
          <w:szCs w:val="24"/>
        </w:rPr>
        <w:t>při normálním vědomí</w:t>
      </w:r>
      <w:r w:rsidRPr="004B3DB1">
        <w:rPr>
          <w:sz w:val="24"/>
          <w:szCs w:val="24"/>
        </w:rPr>
        <w:t xml:space="preserve"> by </w:t>
      </w:r>
      <w:r>
        <w:rPr>
          <w:sz w:val="24"/>
          <w:szCs w:val="24"/>
        </w:rPr>
        <w:t>se toho snad nedopouštěl</w:t>
      </w:r>
      <w:r w:rsidRPr="004B3DB1">
        <w:rPr>
          <w:sz w:val="24"/>
          <w:szCs w:val="24"/>
        </w:rPr>
        <w:t>). Odsu</w:t>
      </w:r>
      <w:r>
        <w:rPr>
          <w:sz w:val="24"/>
          <w:szCs w:val="24"/>
        </w:rPr>
        <w:t xml:space="preserve">zovat však existenci internetu </w:t>
      </w:r>
      <w:r w:rsidRPr="004B3DB1">
        <w:rPr>
          <w:sz w:val="24"/>
          <w:szCs w:val="24"/>
        </w:rPr>
        <w:t>jako takového</w:t>
      </w:r>
      <w:r>
        <w:rPr>
          <w:sz w:val="24"/>
          <w:szCs w:val="24"/>
        </w:rPr>
        <w:t>,</w:t>
      </w:r>
      <w:r w:rsidRPr="004B3DB1">
        <w:rPr>
          <w:sz w:val="24"/>
          <w:szCs w:val="24"/>
        </w:rPr>
        <w:t xml:space="preserve"> jen kvůli zlo</w:t>
      </w:r>
      <w:r>
        <w:rPr>
          <w:sz w:val="24"/>
          <w:szCs w:val="24"/>
        </w:rPr>
        <w:t>bě některých jednotlivců a tomu</w:t>
      </w:r>
      <w:r w:rsidRPr="004B3DB1">
        <w:rPr>
          <w:sz w:val="24"/>
          <w:szCs w:val="24"/>
        </w:rPr>
        <w:t xml:space="preserve"> co je pak následkem</w:t>
      </w:r>
      <w:r>
        <w:rPr>
          <w:sz w:val="24"/>
          <w:szCs w:val="24"/>
        </w:rPr>
        <w:t>,</w:t>
      </w:r>
      <w:r w:rsidRPr="004B3DB1">
        <w:rPr>
          <w:sz w:val="24"/>
          <w:szCs w:val="24"/>
        </w:rPr>
        <w:t xml:space="preserve"> </w:t>
      </w:r>
      <w:r>
        <w:rPr>
          <w:sz w:val="24"/>
          <w:szCs w:val="24"/>
        </w:rPr>
        <w:t>mi nepřijde správné.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 w:rsidRPr="003214A4">
        <w:rPr>
          <w:sz w:val="24"/>
          <w:szCs w:val="24"/>
        </w:rPr>
        <w:t xml:space="preserve">Internet s sebou </w:t>
      </w:r>
      <w:r>
        <w:rPr>
          <w:sz w:val="24"/>
          <w:szCs w:val="24"/>
        </w:rPr>
        <w:t>samozřejmě přináší mnoho</w:t>
      </w:r>
      <w:r w:rsidRPr="003214A4">
        <w:rPr>
          <w:sz w:val="24"/>
          <w:szCs w:val="24"/>
        </w:rPr>
        <w:t xml:space="preserve"> dobrého. Zlepšuje dostupnost informací, pomáhá ve všeobecném rozvoji lidí, dovoluje těm, kteří by se jinak prosazovali jen těžko ukázat druhým svůj talent a to i tehd</w:t>
      </w:r>
      <w:r>
        <w:rPr>
          <w:sz w:val="24"/>
          <w:szCs w:val="24"/>
        </w:rPr>
        <w:t>y</w:t>
      </w:r>
      <w:r w:rsidRPr="003214A4">
        <w:rPr>
          <w:sz w:val="24"/>
          <w:szCs w:val="24"/>
        </w:rPr>
        <w:t>, když nemají na veřejné prezentace svých děl j</w:t>
      </w:r>
      <w:r>
        <w:rPr>
          <w:sz w:val="24"/>
          <w:szCs w:val="24"/>
        </w:rPr>
        <w:t>eště vybudované jméno, známosti</w:t>
      </w:r>
      <w:r w:rsidRPr="003214A4">
        <w:rPr>
          <w:sz w:val="24"/>
          <w:szCs w:val="24"/>
        </w:rPr>
        <w:t xml:space="preserve"> ani peníze</w:t>
      </w:r>
      <w:r>
        <w:rPr>
          <w:sz w:val="24"/>
          <w:szCs w:val="24"/>
        </w:rPr>
        <w:t>.</w:t>
      </w:r>
      <w:r w:rsidRPr="003214A4">
        <w:rPr>
          <w:sz w:val="24"/>
          <w:szCs w:val="24"/>
        </w:rPr>
        <w:t xml:space="preserve"> Kyberšikana </w:t>
      </w:r>
      <w:r>
        <w:rPr>
          <w:sz w:val="24"/>
          <w:szCs w:val="24"/>
        </w:rPr>
        <w:t>skutečně existuje, je špatná a mnoho lidí kvůli ní trpí. J</w:t>
      </w:r>
      <w:r w:rsidRPr="003214A4">
        <w:rPr>
          <w:sz w:val="24"/>
          <w:szCs w:val="24"/>
        </w:rPr>
        <w:t>enže kromě kyberšikany existuje i nespočet dalších druhů šikany, které tu byli už před tím</w:t>
      </w:r>
      <w:r>
        <w:rPr>
          <w:sz w:val="24"/>
          <w:szCs w:val="24"/>
        </w:rPr>
        <w:t>. Je mi</w:t>
      </w:r>
      <w:r w:rsidRPr="003214A4">
        <w:rPr>
          <w:sz w:val="24"/>
          <w:szCs w:val="24"/>
        </w:rPr>
        <w:t xml:space="preserve"> líto promarněných životů, avšak spíše než internetu je to podle mého chyba toho, že lidé prostě </w:t>
      </w:r>
      <w:r>
        <w:rPr>
          <w:sz w:val="24"/>
          <w:szCs w:val="24"/>
        </w:rPr>
        <w:t xml:space="preserve">nejsou vedeni k sounáležitosti, </w:t>
      </w:r>
      <w:r w:rsidRPr="003214A4">
        <w:rPr>
          <w:sz w:val="24"/>
          <w:szCs w:val="24"/>
        </w:rPr>
        <w:t>nechtějí být ochotni se vciťovat při svém konání do druhých, léčí si strachy ze svých vlastních nedostatků tím, ž</w:t>
      </w:r>
      <w:r>
        <w:rPr>
          <w:sz w:val="24"/>
          <w:szCs w:val="24"/>
        </w:rPr>
        <w:t>e hledají nedostatky na druhých</w:t>
      </w:r>
      <w:r w:rsidRPr="003214A4">
        <w:rPr>
          <w:sz w:val="24"/>
          <w:szCs w:val="24"/>
        </w:rPr>
        <w:t xml:space="preserve"> a potom se navzájem týrají </w:t>
      </w:r>
      <w:r>
        <w:rPr>
          <w:sz w:val="24"/>
          <w:szCs w:val="24"/>
        </w:rPr>
        <w:t xml:space="preserve">(ať už fyzicky, nebo psychicky). </w:t>
      </w:r>
    </w:p>
    <w:p w:rsidR="00B97473" w:rsidRDefault="008E5033" w:rsidP="008E503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Nejen na středních školách by se měli brát v potaz všechny formy šikany. Samozřejmě kromě učitelů působí na své děti nejvíce hlavně jejich rodiče. Ti by měli vést a dohlížet nad svými dětmi už od jejich prvního styku s internetovým prostorem. Jak už jsem jednou naznačoval, </w:t>
      </w:r>
      <w:r w:rsidRPr="00BA7E62">
        <w:rPr>
          <w:rFonts w:cstheme="minorHAnsi"/>
          <w:color w:val="000000"/>
          <w:sz w:val="24"/>
          <w:szCs w:val="24"/>
          <w:shd w:val="clear" w:color="auto" w:fill="FFFFFF"/>
        </w:rPr>
        <w:t>Informační technologie mají bezesporu i pozit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ivní aspekty. Je potřeba žákům </w:t>
      </w:r>
      <w:r w:rsidRPr="00BA7E62">
        <w:rPr>
          <w:rFonts w:cstheme="minorHAnsi"/>
          <w:color w:val="000000"/>
          <w:sz w:val="24"/>
          <w:szCs w:val="24"/>
          <w:shd w:val="clear" w:color="auto" w:fill="FFFFFF"/>
        </w:rPr>
        <w:t>vysvětlit bezpečné způsoby jak technologie používat a naučit je tyto technologie používat tak, aby vedly k podpoře sebeúcty, průbojnosti a budování přátelství. Nedílnou součást prevence tvoří 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BA7E62">
        <w:rPr>
          <w:rFonts w:cstheme="minorHAnsi"/>
          <w:color w:val="000000"/>
          <w:sz w:val="24"/>
          <w:szCs w:val="24"/>
          <w:shd w:val="clear" w:color="auto" w:fill="FFFFFF"/>
        </w:rPr>
        <w:t>ogramy a diskuze na téma etikety na internetu, e-bezpečí a počítačové gramotnosti.</w:t>
      </w:r>
    </w:p>
    <w:p w:rsidR="008E5033" w:rsidRDefault="008E5033" w:rsidP="008E5033">
      <w:pPr>
        <w:spacing w:after="0" w:line="240" w:lineRule="auto"/>
        <w:rPr>
          <w:sz w:val="24"/>
          <w:szCs w:val="24"/>
        </w:rPr>
      </w:pPr>
      <w:r w:rsidRPr="00BA7E6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B97473" w:rsidRDefault="008E5033" w:rsidP="008E5033">
      <w:pPr>
        <w:spacing w:after="0" w:line="240" w:lineRule="auto"/>
        <w:rPr>
          <w:b/>
          <w:sz w:val="28"/>
          <w:szCs w:val="28"/>
        </w:rPr>
      </w:pPr>
      <w:r w:rsidRPr="003A55D5">
        <w:rPr>
          <w:b/>
          <w:sz w:val="28"/>
          <w:szCs w:val="28"/>
        </w:rPr>
        <w:t>Internetový zdroj:</w:t>
      </w:r>
    </w:p>
    <w:p w:rsidR="008E5033" w:rsidRPr="003A55D5" w:rsidRDefault="008E5033" w:rsidP="008E5033">
      <w:pPr>
        <w:spacing w:after="0" w:line="240" w:lineRule="auto"/>
        <w:rPr>
          <w:sz w:val="24"/>
          <w:szCs w:val="24"/>
        </w:rPr>
      </w:pPr>
      <w:r w:rsidRPr="003A55D5">
        <w:rPr>
          <w:sz w:val="24"/>
          <w:szCs w:val="24"/>
        </w:rPr>
        <w:t>„https://is.muni.cz/th/zain7/Diplomova_prace__Cech__393647.pdf“</w:t>
      </w:r>
    </w:p>
    <w:p w:rsidR="00656696" w:rsidRDefault="00656696" w:rsidP="008E5033">
      <w:pPr>
        <w:spacing w:after="0" w:line="240" w:lineRule="auto"/>
      </w:pPr>
    </w:p>
    <w:sectPr w:rsidR="0065669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245919"/>
      <w:docPartObj>
        <w:docPartGallery w:val="Page Numbers (Bottom of Page)"/>
        <w:docPartUnique/>
      </w:docPartObj>
    </w:sdtPr>
    <w:sdtEndPr/>
    <w:sdtContent>
      <w:p w:rsidR="001B68AE" w:rsidRDefault="00B974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68AE" w:rsidRDefault="00B97473">
    <w:pPr>
      <w:pStyle w:val="Zpat"/>
    </w:pPr>
  </w:p>
  <w:p w:rsidR="00826A0A" w:rsidRDefault="00B97473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E74E"/>
    <w:multiLevelType w:val="hybridMultilevel"/>
    <w:tmpl w:val="11A66D36"/>
    <w:lvl w:ilvl="0" w:tplc="413872FA">
      <w:start w:val="1"/>
      <w:numFmt w:val="bullet"/>
      <w:lvlText w:val="•"/>
      <w:lvlJc w:val="left"/>
      <w:pPr>
        <w:ind w:left="0" w:firstLine="0"/>
      </w:pPr>
    </w:lvl>
    <w:lvl w:ilvl="1" w:tplc="614038E0">
      <w:start w:val="5"/>
      <w:numFmt w:val="lowerRoman"/>
      <w:lvlText w:val="%2"/>
      <w:lvlJc w:val="left"/>
      <w:pPr>
        <w:ind w:left="0" w:firstLine="0"/>
      </w:pPr>
    </w:lvl>
    <w:lvl w:ilvl="2" w:tplc="5E868EE2">
      <w:start w:val="1"/>
      <w:numFmt w:val="decimal"/>
      <w:lvlText w:val="%3"/>
      <w:lvlJc w:val="left"/>
      <w:pPr>
        <w:ind w:left="0" w:firstLine="0"/>
      </w:pPr>
    </w:lvl>
    <w:lvl w:ilvl="3" w:tplc="0C487AAE">
      <w:numFmt w:val="decimal"/>
      <w:lvlText w:val=""/>
      <w:lvlJc w:val="left"/>
      <w:pPr>
        <w:ind w:left="0" w:firstLine="0"/>
      </w:pPr>
    </w:lvl>
    <w:lvl w:ilvl="4" w:tplc="CDCEFD42">
      <w:numFmt w:val="decimal"/>
      <w:lvlText w:val=""/>
      <w:lvlJc w:val="left"/>
      <w:pPr>
        <w:ind w:left="0" w:firstLine="0"/>
      </w:pPr>
    </w:lvl>
    <w:lvl w:ilvl="5" w:tplc="7FCE7920">
      <w:numFmt w:val="decimal"/>
      <w:lvlText w:val=""/>
      <w:lvlJc w:val="left"/>
      <w:pPr>
        <w:ind w:left="0" w:firstLine="0"/>
      </w:pPr>
    </w:lvl>
    <w:lvl w:ilvl="6" w:tplc="43EAD19E">
      <w:numFmt w:val="decimal"/>
      <w:lvlText w:val=""/>
      <w:lvlJc w:val="left"/>
      <w:pPr>
        <w:ind w:left="0" w:firstLine="0"/>
      </w:pPr>
    </w:lvl>
    <w:lvl w:ilvl="7" w:tplc="5666D90C">
      <w:numFmt w:val="decimal"/>
      <w:lvlText w:val=""/>
      <w:lvlJc w:val="left"/>
      <w:pPr>
        <w:ind w:left="0" w:firstLine="0"/>
      </w:pPr>
    </w:lvl>
    <w:lvl w:ilvl="8" w:tplc="2638B80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A62ACA"/>
    <w:multiLevelType w:val="hybridMultilevel"/>
    <w:tmpl w:val="C220FAA4"/>
    <w:lvl w:ilvl="0" w:tplc="2814DCDC">
      <w:start w:val="1"/>
      <w:numFmt w:val="bullet"/>
      <w:lvlText w:val="•"/>
      <w:lvlJc w:val="left"/>
      <w:pPr>
        <w:ind w:left="0" w:firstLine="0"/>
      </w:pPr>
    </w:lvl>
    <w:lvl w:ilvl="1" w:tplc="86C49DC8">
      <w:start w:val="1"/>
      <w:numFmt w:val="lowerRoman"/>
      <w:lvlText w:val="%2"/>
      <w:lvlJc w:val="left"/>
      <w:pPr>
        <w:ind w:left="0" w:firstLine="0"/>
      </w:pPr>
    </w:lvl>
    <w:lvl w:ilvl="2" w:tplc="B0869292">
      <w:start w:val="2"/>
      <w:numFmt w:val="decimal"/>
      <w:lvlText w:val="%3."/>
      <w:lvlJc w:val="left"/>
      <w:pPr>
        <w:ind w:left="0" w:firstLine="0"/>
      </w:pPr>
    </w:lvl>
    <w:lvl w:ilvl="3" w:tplc="609CBDC8">
      <w:numFmt w:val="decimal"/>
      <w:lvlText w:val=""/>
      <w:lvlJc w:val="left"/>
      <w:pPr>
        <w:ind w:left="0" w:firstLine="0"/>
      </w:pPr>
    </w:lvl>
    <w:lvl w:ilvl="4" w:tplc="43801158">
      <w:numFmt w:val="decimal"/>
      <w:lvlText w:val=""/>
      <w:lvlJc w:val="left"/>
      <w:pPr>
        <w:ind w:left="0" w:firstLine="0"/>
      </w:pPr>
    </w:lvl>
    <w:lvl w:ilvl="5" w:tplc="C1AEB43A">
      <w:numFmt w:val="decimal"/>
      <w:lvlText w:val=""/>
      <w:lvlJc w:val="left"/>
      <w:pPr>
        <w:ind w:left="0" w:firstLine="0"/>
      </w:pPr>
    </w:lvl>
    <w:lvl w:ilvl="6" w:tplc="BA2EE772">
      <w:numFmt w:val="decimal"/>
      <w:lvlText w:val=""/>
      <w:lvlJc w:val="left"/>
      <w:pPr>
        <w:ind w:left="0" w:firstLine="0"/>
      </w:pPr>
    </w:lvl>
    <w:lvl w:ilvl="7" w:tplc="9684AABA">
      <w:numFmt w:val="decimal"/>
      <w:lvlText w:val=""/>
      <w:lvlJc w:val="left"/>
      <w:pPr>
        <w:ind w:left="0" w:firstLine="0"/>
      </w:pPr>
    </w:lvl>
    <w:lvl w:ilvl="8" w:tplc="1D4AF88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5C55B5"/>
    <w:multiLevelType w:val="hybridMultilevel"/>
    <w:tmpl w:val="991E9EDE"/>
    <w:lvl w:ilvl="0" w:tplc="2D1A9D72">
      <w:start w:val="1"/>
      <w:numFmt w:val="bullet"/>
      <w:lvlText w:val="•"/>
      <w:lvlJc w:val="left"/>
      <w:pPr>
        <w:ind w:left="0" w:firstLine="0"/>
      </w:pPr>
    </w:lvl>
    <w:lvl w:ilvl="1" w:tplc="912857A2">
      <w:numFmt w:val="decimal"/>
      <w:lvlText w:val=""/>
      <w:lvlJc w:val="left"/>
      <w:pPr>
        <w:ind w:left="0" w:firstLine="0"/>
      </w:pPr>
    </w:lvl>
    <w:lvl w:ilvl="2" w:tplc="5400DCE8">
      <w:numFmt w:val="decimal"/>
      <w:lvlText w:val=""/>
      <w:lvlJc w:val="left"/>
      <w:pPr>
        <w:ind w:left="0" w:firstLine="0"/>
      </w:pPr>
    </w:lvl>
    <w:lvl w:ilvl="3" w:tplc="5F942FEC">
      <w:numFmt w:val="decimal"/>
      <w:lvlText w:val=""/>
      <w:lvlJc w:val="left"/>
      <w:pPr>
        <w:ind w:left="0" w:firstLine="0"/>
      </w:pPr>
    </w:lvl>
    <w:lvl w:ilvl="4" w:tplc="FB8CF3A0">
      <w:numFmt w:val="decimal"/>
      <w:lvlText w:val=""/>
      <w:lvlJc w:val="left"/>
      <w:pPr>
        <w:ind w:left="0" w:firstLine="0"/>
      </w:pPr>
    </w:lvl>
    <w:lvl w:ilvl="5" w:tplc="0CBABB82">
      <w:numFmt w:val="decimal"/>
      <w:lvlText w:val=""/>
      <w:lvlJc w:val="left"/>
      <w:pPr>
        <w:ind w:left="0" w:firstLine="0"/>
      </w:pPr>
    </w:lvl>
    <w:lvl w:ilvl="6" w:tplc="17AEBB08">
      <w:numFmt w:val="decimal"/>
      <w:lvlText w:val=""/>
      <w:lvlJc w:val="left"/>
      <w:pPr>
        <w:ind w:left="0" w:firstLine="0"/>
      </w:pPr>
    </w:lvl>
    <w:lvl w:ilvl="7" w:tplc="C6F421E2">
      <w:numFmt w:val="decimal"/>
      <w:lvlText w:val=""/>
      <w:lvlJc w:val="left"/>
      <w:pPr>
        <w:ind w:left="0" w:firstLine="0"/>
      </w:pPr>
    </w:lvl>
    <w:lvl w:ilvl="8" w:tplc="31AAC7E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3534A4"/>
    <w:multiLevelType w:val="hybridMultilevel"/>
    <w:tmpl w:val="7E922748"/>
    <w:lvl w:ilvl="0" w:tplc="6A1E7438">
      <w:start w:val="2"/>
      <w:numFmt w:val="decimal"/>
      <w:lvlText w:val="%1."/>
      <w:lvlJc w:val="left"/>
      <w:pPr>
        <w:ind w:left="0" w:firstLine="0"/>
      </w:pPr>
    </w:lvl>
    <w:lvl w:ilvl="1" w:tplc="EE92DA4E">
      <w:numFmt w:val="decimal"/>
      <w:lvlText w:val=""/>
      <w:lvlJc w:val="left"/>
      <w:pPr>
        <w:ind w:left="0" w:firstLine="0"/>
      </w:pPr>
    </w:lvl>
    <w:lvl w:ilvl="2" w:tplc="78026262">
      <w:numFmt w:val="decimal"/>
      <w:lvlText w:val=""/>
      <w:lvlJc w:val="left"/>
      <w:pPr>
        <w:ind w:left="0" w:firstLine="0"/>
      </w:pPr>
    </w:lvl>
    <w:lvl w:ilvl="3" w:tplc="C4F45408">
      <w:numFmt w:val="decimal"/>
      <w:lvlText w:val=""/>
      <w:lvlJc w:val="left"/>
      <w:pPr>
        <w:ind w:left="0" w:firstLine="0"/>
      </w:pPr>
    </w:lvl>
    <w:lvl w:ilvl="4" w:tplc="13E2284C">
      <w:numFmt w:val="decimal"/>
      <w:lvlText w:val=""/>
      <w:lvlJc w:val="left"/>
      <w:pPr>
        <w:ind w:left="0" w:firstLine="0"/>
      </w:pPr>
    </w:lvl>
    <w:lvl w:ilvl="5" w:tplc="68585A7C">
      <w:numFmt w:val="decimal"/>
      <w:lvlText w:val=""/>
      <w:lvlJc w:val="left"/>
      <w:pPr>
        <w:ind w:left="0" w:firstLine="0"/>
      </w:pPr>
    </w:lvl>
    <w:lvl w:ilvl="6" w:tplc="A4A8527A">
      <w:numFmt w:val="decimal"/>
      <w:lvlText w:val=""/>
      <w:lvlJc w:val="left"/>
      <w:pPr>
        <w:ind w:left="0" w:firstLine="0"/>
      </w:pPr>
    </w:lvl>
    <w:lvl w:ilvl="7" w:tplc="74821176">
      <w:numFmt w:val="decimal"/>
      <w:lvlText w:val=""/>
      <w:lvlJc w:val="left"/>
      <w:pPr>
        <w:ind w:left="0" w:firstLine="0"/>
      </w:pPr>
    </w:lvl>
    <w:lvl w:ilvl="8" w:tplc="3F80890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5F7029"/>
    <w:multiLevelType w:val="hybridMultilevel"/>
    <w:tmpl w:val="1DC202D0"/>
    <w:lvl w:ilvl="0" w:tplc="2444B042">
      <w:start w:val="4"/>
      <w:numFmt w:val="decimal"/>
      <w:lvlText w:val="%1"/>
      <w:lvlJc w:val="left"/>
      <w:pPr>
        <w:ind w:left="0" w:firstLine="0"/>
      </w:pPr>
    </w:lvl>
    <w:lvl w:ilvl="1" w:tplc="674062B0">
      <w:numFmt w:val="decimal"/>
      <w:lvlText w:val=""/>
      <w:lvlJc w:val="left"/>
      <w:pPr>
        <w:ind w:left="0" w:firstLine="0"/>
      </w:pPr>
    </w:lvl>
    <w:lvl w:ilvl="2" w:tplc="6030932E">
      <w:numFmt w:val="decimal"/>
      <w:lvlText w:val=""/>
      <w:lvlJc w:val="left"/>
      <w:pPr>
        <w:ind w:left="0" w:firstLine="0"/>
      </w:pPr>
    </w:lvl>
    <w:lvl w:ilvl="3" w:tplc="E988B4CA">
      <w:numFmt w:val="decimal"/>
      <w:lvlText w:val=""/>
      <w:lvlJc w:val="left"/>
      <w:pPr>
        <w:ind w:left="0" w:firstLine="0"/>
      </w:pPr>
    </w:lvl>
    <w:lvl w:ilvl="4" w:tplc="335A5A9E">
      <w:numFmt w:val="decimal"/>
      <w:lvlText w:val=""/>
      <w:lvlJc w:val="left"/>
      <w:pPr>
        <w:ind w:left="0" w:firstLine="0"/>
      </w:pPr>
    </w:lvl>
    <w:lvl w:ilvl="5" w:tplc="FA5C230A">
      <w:numFmt w:val="decimal"/>
      <w:lvlText w:val=""/>
      <w:lvlJc w:val="left"/>
      <w:pPr>
        <w:ind w:left="0" w:firstLine="0"/>
      </w:pPr>
    </w:lvl>
    <w:lvl w:ilvl="6" w:tplc="B40A8132">
      <w:numFmt w:val="decimal"/>
      <w:lvlText w:val=""/>
      <w:lvlJc w:val="left"/>
      <w:pPr>
        <w:ind w:left="0" w:firstLine="0"/>
      </w:pPr>
    </w:lvl>
    <w:lvl w:ilvl="7" w:tplc="C14C1A8C">
      <w:numFmt w:val="decimal"/>
      <w:lvlText w:val=""/>
      <w:lvlJc w:val="left"/>
      <w:pPr>
        <w:ind w:left="0" w:firstLine="0"/>
      </w:pPr>
    </w:lvl>
    <w:lvl w:ilvl="8" w:tplc="B2202A8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A1821B"/>
    <w:multiLevelType w:val="hybridMultilevel"/>
    <w:tmpl w:val="8E141810"/>
    <w:lvl w:ilvl="0" w:tplc="6FBCE690">
      <w:start w:val="3"/>
      <w:numFmt w:val="decimal"/>
      <w:lvlText w:val="%1."/>
      <w:lvlJc w:val="left"/>
      <w:pPr>
        <w:ind w:left="0" w:firstLine="0"/>
      </w:pPr>
    </w:lvl>
    <w:lvl w:ilvl="1" w:tplc="D41CEA36">
      <w:numFmt w:val="decimal"/>
      <w:lvlText w:val=""/>
      <w:lvlJc w:val="left"/>
      <w:pPr>
        <w:ind w:left="0" w:firstLine="0"/>
      </w:pPr>
    </w:lvl>
    <w:lvl w:ilvl="2" w:tplc="AD6CAE5E">
      <w:numFmt w:val="decimal"/>
      <w:lvlText w:val=""/>
      <w:lvlJc w:val="left"/>
      <w:pPr>
        <w:ind w:left="0" w:firstLine="0"/>
      </w:pPr>
    </w:lvl>
    <w:lvl w:ilvl="3" w:tplc="D8F6F60C">
      <w:numFmt w:val="decimal"/>
      <w:lvlText w:val=""/>
      <w:lvlJc w:val="left"/>
      <w:pPr>
        <w:ind w:left="0" w:firstLine="0"/>
      </w:pPr>
    </w:lvl>
    <w:lvl w:ilvl="4" w:tplc="D4EE41C4">
      <w:numFmt w:val="decimal"/>
      <w:lvlText w:val=""/>
      <w:lvlJc w:val="left"/>
      <w:pPr>
        <w:ind w:left="0" w:firstLine="0"/>
      </w:pPr>
    </w:lvl>
    <w:lvl w:ilvl="5" w:tplc="88DCD2BE">
      <w:numFmt w:val="decimal"/>
      <w:lvlText w:val=""/>
      <w:lvlJc w:val="left"/>
      <w:pPr>
        <w:ind w:left="0" w:firstLine="0"/>
      </w:pPr>
    </w:lvl>
    <w:lvl w:ilvl="6" w:tplc="84BA5936">
      <w:numFmt w:val="decimal"/>
      <w:lvlText w:val=""/>
      <w:lvlJc w:val="left"/>
      <w:pPr>
        <w:ind w:left="0" w:firstLine="0"/>
      </w:pPr>
    </w:lvl>
    <w:lvl w:ilvl="7" w:tplc="D3AE3598">
      <w:numFmt w:val="decimal"/>
      <w:lvlText w:val=""/>
      <w:lvlJc w:val="left"/>
      <w:pPr>
        <w:ind w:left="0" w:firstLine="0"/>
      </w:pPr>
    </w:lvl>
    <w:lvl w:ilvl="8" w:tplc="6DA00F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5E18F8"/>
    <w:multiLevelType w:val="hybridMultilevel"/>
    <w:tmpl w:val="D4F0A204"/>
    <w:lvl w:ilvl="0" w:tplc="F2564D4E">
      <w:start w:val="1"/>
      <w:numFmt w:val="decimal"/>
      <w:lvlText w:val="%1."/>
      <w:lvlJc w:val="left"/>
      <w:pPr>
        <w:ind w:left="0" w:firstLine="0"/>
      </w:pPr>
    </w:lvl>
    <w:lvl w:ilvl="1" w:tplc="3208D6BA">
      <w:numFmt w:val="decimal"/>
      <w:lvlText w:val=""/>
      <w:lvlJc w:val="left"/>
      <w:pPr>
        <w:ind w:left="0" w:firstLine="0"/>
      </w:pPr>
    </w:lvl>
    <w:lvl w:ilvl="2" w:tplc="162E5748">
      <w:numFmt w:val="decimal"/>
      <w:lvlText w:val=""/>
      <w:lvlJc w:val="left"/>
      <w:pPr>
        <w:ind w:left="0" w:firstLine="0"/>
      </w:pPr>
    </w:lvl>
    <w:lvl w:ilvl="3" w:tplc="C632E294">
      <w:numFmt w:val="decimal"/>
      <w:lvlText w:val=""/>
      <w:lvlJc w:val="left"/>
      <w:pPr>
        <w:ind w:left="0" w:firstLine="0"/>
      </w:pPr>
    </w:lvl>
    <w:lvl w:ilvl="4" w:tplc="C85637CE">
      <w:numFmt w:val="decimal"/>
      <w:lvlText w:val=""/>
      <w:lvlJc w:val="left"/>
      <w:pPr>
        <w:ind w:left="0" w:firstLine="0"/>
      </w:pPr>
    </w:lvl>
    <w:lvl w:ilvl="5" w:tplc="2D927DE4">
      <w:numFmt w:val="decimal"/>
      <w:lvlText w:val=""/>
      <w:lvlJc w:val="left"/>
      <w:pPr>
        <w:ind w:left="0" w:firstLine="0"/>
      </w:pPr>
    </w:lvl>
    <w:lvl w:ilvl="6" w:tplc="01CC66C0">
      <w:numFmt w:val="decimal"/>
      <w:lvlText w:val=""/>
      <w:lvlJc w:val="left"/>
      <w:pPr>
        <w:ind w:left="0" w:firstLine="0"/>
      </w:pPr>
    </w:lvl>
    <w:lvl w:ilvl="7" w:tplc="2A265126">
      <w:numFmt w:val="decimal"/>
      <w:lvlText w:val=""/>
      <w:lvlJc w:val="left"/>
      <w:pPr>
        <w:ind w:left="0" w:firstLine="0"/>
      </w:pPr>
    </w:lvl>
    <w:lvl w:ilvl="8" w:tplc="AC00020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E67713"/>
    <w:multiLevelType w:val="hybridMultilevel"/>
    <w:tmpl w:val="32B0FF7C"/>
    <w:lvl w:ilvl="0" w:tplc="CBB80A5C">
      <w:start w:val="1"/>
      <w:numFmt w:val="bullet"/>
      <w:lvlText w:val="•"/>
      <w:lvlJc w:val="left"/>
      <w:pPr>
        <w:ind w:left="0" w:firstLine="0"/>
      </w:pPr>
    </w:lvl>
    <w:lvl w:ilvl="1" w:tplc="A608018C">
      <w:start w:val="1"/>
      <w:numFmt w:val="decimal"/>
      <w:lvlText w:val="%2."/>
      <w:lvlJc w:val="left"/>
      <w:pPr>
        <w:ind w:left="0" w:firstLine="0"/>
      </w:pPr>
    </w:lvl>
    <w:lvl w:ilvl="2" w:tplc="9A5E8068">
      <w:numFmt w:val="decimal"/>
      <w:lvlText w:val=""/>
      <w:lvlJc w:val="left"/>
      <w:pPr>
        <w:ind w:left="0" w:firstLine="0"/>
      </w:pPr>
    </w:lvl>
    <w:lvl w:ilvl="3" w:tplc="A1BADF3E">
      <w:numFmt w:val="decimal"/>
      <w:lvlText w:val=""/>
      <w:lvlJc w:val="left"/>
      <w:pPr>
        <w:ind w:left="0" w:firstLine="0"/>
      </w:pPr>
    </w:lvl>
    <w:lvl w:ilvl="4" w:tplc="DC229BA0">
      <w:numFmt w:val="decimal"/>
      <w:lvlText w:val=""/>
      <w:lvlJc w:val="left"/>
      <w:pPr>
        <w:ind w:left="0" w:firstLine="0"/>
      </w:pPr>
    </w:lvl>
    <w:lvl w:ilvl="5" w:tplc="C2720C30">
      <w:numFmt w:val="decimal"/>
      <w:lvlText w:val=""/>
      <w:lvlJc w:val="left"/>
      <w:pPr>
        <w:ind w:left="0" w:firstLine="0"/>
      </w:pPr>
    </w:lvl>
    <w:lvl w:ilvl="6" w:tplc="01A0C5CE">
      <w:numFmt w:val="decimal"/>
      <w:lvlText w:val=""/>
      <w:lvlJc w:val="left"/>
      <w:pPr>
        <w:ind w:left="0" w:firstLine="0"/>
      </w:pPr>
    </w:lvl>
    <w:lvl w:ilvl="7" w:tplc="E78C70A4">
      <w:numFmt w:val="decimal"/>
      <w:lvlText w:val=""/>
      <w:lvlJc w:val="left"/>
      <w:pPr>
        <w:ind w:left="0" w:firstLine="0"/>
      </w:pPr>
    </w:lvl>
    <w:lvl w:ilvl="8" w:tplc="A740B3C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3"/>
    <w:rsid w:val="00656696"/>
    <w:rsid w:val="008E5033"/>
    <w:rsid w:val="00B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CDF0"/>
  <w15:chartTrackingRefBased/>
  <w15:docId w15:val="{7D7F6B1A-41C2-4458-A32D-EB08E1B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0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Zemanec Lukáš</dc:creator>
  <cp:keywords/>
  <dc:description/>
  <cp:lastModifiedBy>Zemanec Lukáš</cp:lastModifiedBy>
  <cp:revision>2</cp:revision>
  <dcterms:created xsi:type="dcterms:W3CDTF">2019-03-15T21:19:00Z</dcterms:created>
  <dcterms:modified xsi:type="dcterms:W3CDTF">2019-03-15T21:19:00Z</dcterms:modified>
</cp:coreProperties>
</file>